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hint="eastAsia"/>
          <w:snapToGrid w:val="0"/>
          <w:color w:val="000000"/>
        </w:rPr>
      </w:pPr>
      <w:bookmarkStart w:id="0" w:name="SectionMark0"/>
      <w:r>
        <w:rPr>
          <w:snapToGrid w:val="0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3071495"/>
                <wp:effectExtent l="0" t="0" r="1270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969000" cy="307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ordWrap/>
                              <w:overflowPunct/>
                              <w:topLinePunct w:val="0"/>
                              <w:bidi w:val="0"/>
                              <w:spacing w:line="240" w:lineRule="auto"/>
                              <w:jc w:val="center"/>
                              <w:rPr>
                                <w:rFonts w:hint="eastAsia" w:ascii="黑体" w:hAnsi="黑体" w:eastAsia="黑体" w:cs="黑体"/>
                                <w:spacing w:val="-2"/>
                                <w:position w:val="31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-2"/>
                                <w:position w:val="31"/>
                                <w:sz w:val="52"/>
                                <w:szCs w:val="52"/>
                                <w:lang w:val="en-US" w:eastAsia="zh-CN"/>
                              </w:rPr>
                              <w:t>食品安全地方标准名称</w:t>
                            </w:r>
                          </w:p>
                          <w:p>
                            <w:pPr>
                              <w:pStyle w:val="18"/>
                              <w:keepNext w:val="0"/>
                              <w:keepLines w:val="0"/>
                              <w:pageBreakBefore w:val="0"/>
                              <w:wordWrap/>
                              <w:overflowPunct/>
                              <w:topLinePunct w:val="0"/>
                              <w:bidi w:val="0"/>
                              <w:spacing w:before="0" w:line="240" w:lineRule="auto"/>
                              <w:rPr>
                                <w:rFonts w:hint="eastAsia" w:ascii="黑体" w:hAnsi="黑体" w:eastAsia="黑体" w:cs="黑体"/>
                                <w:spacing w:val="-2"/>
                                <w:position w:val="31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-2"/>
                                <w:position w:val="31"/>
                                <w:sz w:val="52"/>
                                <w:szCs w:val="52"/>
                                <w:lang w:val="en-US" w:eastAsia="zh-CN"/>
                              </w:rPr>
                              <w:t>西洋参</w:t>
                            </w:r>
                          </w:p>
                          <w:p>
                            <w:pPr>
                              <w:pStyle w:val="18"/>
                              <w:keepNext w:val="0"/>
                              <w:keepLines w:val="0"/>
                              <w:pageBreakBefore w:val="0"/>
                              <w:wordWrap/>
                              <w:overflowPunct/>
                              <w:topLinePunct w:val="0"/>
                              <w:bidi w:val="0"/>
                              <w:spacing w:before="0" w:line="240" w:lineRule="auto"/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-2"/>
                                <w:position w:val="31"/>
                                <w:sz w:val="32"/>
                                <w:szCs w:val="32"/>
                                <w:lang w:val="en-US" w:eastAsia="zh-CN"/>
                              </w:rPr>
                              <w:t>（征求意见稿）</w:t>
                            </w:r>
                          </w:p>
                          <w:p>
                            <w:pPr>
                              <w:pStyle w:val="18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9"/>
                            </w:pPr>
                          </w:p>
                          <w:p>
                            <w:pPr>
                              <w:pStyle w:val="20"/>
                            </w:pPr>
                          </w:p>
                          <w:p>
                            <w:pPr>
                              <w:pStyle w:val="21"/>
                            </w:pP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286.25pt;height:241.85pt;width:470pt;mso-position-horizontal-relative:margin;mso-position-vertical-relative:margin;z-index:251661312;mso-width-relative:page;mso-height-relative:page;" fillcolor="#FFFFFF" filled="t" stroked="f" coordsize="21600,21600" o:gfxdata="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CqgNGH2AAAAAkBAAAPAAAAAAAAAAEAIAAAADgAAABk&#10;cnMvZG93bnJldi54bWxQSwECFAAUAAAACACHTuJA6sefnLcBAABUAwAADgAAAAAAAAABACAAAAA9&#10;AQAAZHJzL2Uyb0RvYy54bWxQSwUGAAAAAAYABgBZAQAAZ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ordWrap/>
                        <w:overflowPunct/>
                        <w:topLinePunct w:val="0"/>
                        <w:bidi w:val="0"/>
                        <w:spacing w:line="240" w:lineRule="auto"/>
                        <w:jc w:val="center"/>
                        <w:rPr>
                          <w:rFonts w:hint="eastAsia" w:ascii="黑体" w:hAnsi="黑体" w:eastAsia="黑体" w:cs="黑体"/>
                          <w:spacing w:val="-2"/>
                          <w:position w:val="31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-2"/>
                          <w:position w:val="31"/>
                          <w:sz w:val="52"/>
                          <w:szCs w:val="52"/>
                          <w:lang w:val="en-US" w:eastAsia="zh-CN"/>
                        </w:rPr>
                        <w:t>食品安全地方标准名称</w:t>
                      </w:r>
                    </w:p>
                    <w:p>
                      <w:pPr>
                        <w:pStyle w:val="18"/>
                        <w:keepNext w:val="0"/>
                        <w:keepLines w:val="0"/>
                        <w:pageBreakBefore w:val="0"/>
                        <w:wordWrap/>
                        <w:overflowPunct/>
                        <w:topLinePunct w:val="0"/>
                        <w:bidi w:val="0"/>
                        <w:spacing w:before="0" w:line="240" w:lineRule="auto"/>
                        <w:rPr>
                          <w:rFonts w:hint="eastAsia" w:ascii="黑体" w:hAnsi="黑体" w:eastAsia="黑体" w:cs="黑体"/>
                          <w:spacing w:val="-2"/>
                          <w:position w:val="31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-2"/>
                          <w:position w:val="31"/>
                          <w:sz w:val="52"/>
                          <w:szCs w:val="52"/>
                          <w:lang w:val="en-US" w:eastAsia="zh-CN"/>
                        </w:rPr>
                        <w:t>西洋参</w:t>
                      </w:r>
                    </w:p>
                    <w:p>
                      <w:pPr>
                        <w:pStyle w:val="18"/>
                        <w:keepNext w:val="0"/>
                        <w:keepLines w:val="0"/>
                        <w:pageBreakBefore w:val="0"/>
                        <w:wordWrap/>
                        <w:overflowPunct/>
                        <w:topLinePunct w:val="0"/>
                        <w:bidi w:val="0"/>
                        <w:spacing w:before="0" w:line="240" w:lineRule="auto"/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-2"/>
                          <w:position w:val="31"/>
                          <w:sz w:val="32"/>
                          <w:szCs w:val="32"/>
                          <w:lang w:val="en-US" w:eastAsia="zh-CN"/>
                        </w:rPr>
                        <w:t>（征求意见稿）</w:t>
                      </w:r>
                    </w:p>
                    <w:p>
                      <w:pPr>
                        <w:pStyle w:val="18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>
                      <w:pPr>
                        <w:pStyle w:val="19"/>
                      </w:pPr>
                    </w:p>
                    <w:p>
                      <w:pPr>
                        <w:pStyle w:val="20"/>
                      </w:pPr>
                    </w:p>
                    <w:p>
                      <w:pPr>
                        <w:pStyle w:val="2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napToGrid w:val="0"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-81280</wp:posOffset>
                </wp:positionH>
                <wp:positionV relativeFrom="margin">
                  <wp:posOffset>1202055</wp:posOffset>
                </wp:positionV>
                <wp:extent cx="6120130" cy="438785"/>
                <wp:effectExtent l="0" t="0" r="13970" b="184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12013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2"/>
                            </w:pPr>
                            <w:r>
                              <w:rPr>
                                <w:rFonts w:hint="eastAsia"/>
                              </w:rPr>
                              <w:t>山东省食品安全地方标准</w:t>
                            </w: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4pt;margin-top:94.65pt;height:34.55pt;width:481.9pt;mso-position-horizontal-relative:margin;mso-position-vertical-relative:margin;z-index:251660288;mso-width-relative:page;mso-height-relative:page;" fillcolor="#FFFFFF" filled="t" stroked="f" coordsize="21600,21600" o:gfxdata="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b6gNZ2gAAAAsBAAAPAAAAAAAAAAEA&#10;IAAAADgAAABkcnMvZG93bnJldi54bWxQSwECFAAUAAAACACHTuJA+dNlYr4BAABhAwAADgAAAAAA&#10;AAABACAAAAA/AQAAZHJzL2Uyb0RvYy54bWxQSwUGAAAAAAYABgBZAQAAb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2"/>
                      </w:pPr>
                      <w:r>
                        <w:rPr>
                          <w:rFonts w:hint="eastAsia"/>
                        </w:rPr>
                        <w:t>山东省食品安全地方标准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>
      <w:pPr>
        <w:pStyle w:val="3"/>
        <w:numPr>
          <w:ilvl w:val="0"/>
          <w:numId w:val="0"/>
        </w:numPr>
        <w:kinsoku w:val="0"/>
        <w:overflowPunct w:val="0"/>
        <w:spacing w:before="39"/>
        <w:jc w:val="right"/>
        <w:rPr>
          <w:rFonts w:hint="default" w:eastAsia="宋体"/>
          <w:b/>
          <w:w w:val="130"/>
          <w:sz w:val="96"/>
          <w:lang w:val="en-US" w:eastAsia="zh-CN"/>
        </w:rPr>
      </w:pPr>
      <w:r>
        <w:rPr>
          <w:rFonts w:hint="default" w:eastAsia="Times New Roman"/>
          <w:b/>
          <w:w w:val="130"/>
          <w:sz w:val="96"/>
        </w:rPr>
        <w:t>DBS</w:t>
      </w:r>
      <w:r>
        <w:rPr>
          <w:rFonts w:hint="eastAsia" w:eastAsia="宋体"/>
          <w:b/>
          <w:w w:val="130"/>
          <w:sz w:val="96"/>
          <w:lang w:val="en-US" w:eastAsia="zh-CN"/>
        </w:rPr>
        <w:t>37</w:t>
      </w:r>
    </w:p>
    <w:p>
      <w:pPr>
        <w:pStyle w:val="2"/>
        <w:tabs>
          <w:tab w:val="clear" w:pos="360"/>
        </w:tabs>
        <w:kinsoku w:val="0"/>
        <w:overflowPunct w:val="0"/>
        <w:jc w:val="right"/>
        <w:rPr>
          <w:rFonts w:ascii="Times New Roman" w:hAnsi="Times New Roman" w:eastAsia="Times New Roman"/>
          <w:sz w:val="28"/>
          <w:szCs w:val="24"/>
        </w:rPr>
      </w:pPr>
    </w:p>
    <w:p>
      <w:pPr>
        <w:pStyle w:val="2"/>
        <w:tabs>
          <w:tab w:val="clear" w:pos="360"/>
        </w:tabs>
        <w:kinsoku w:val="0"/>
        <w:overflowPunct w:val="0"/>
        <w:ind w:firstLine="6103" w:firstLineChars="1900"/>
        <w:jc w:val="both"/>
        <w:rPr>
          <w:rFonts w:hint="eastAsia" w:ascii="黑体" w:hAnsi="黑体" w:eastAsia="黑体" w:cs="黑体"/>
          <w:b/>
          <w:bCs/>
          <w:kern w:val="0"/>
          <w:sz w:val="28"/>
          <w:szCs w:val="24"/>
        </w:rPr>
      </w:pPr>
      <w:r>
        <w:rPr>
          <w:snapToGrid w:val="0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359410</wp:posOffset>
                </wp:positionV>
                <wp:extent cx="61214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pt;margin-top:28.3pt;height:0pt;width:482pt;z-index:251662336;mso-width-relative:page;mso-height-relative:page;" filled="f" stroked="t" coordsize="21600,21600" o:gfxdata="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K/0OIdQAAAAIAQAADwAAAAAAAAABACAAAAA4AAAAZHJzL2Rvd25yZXYueG1sUEsBAhQAFAAA&#10;AAgAh07iQDNgwVHdAQAAmgMAAA4AAAAAAAAAAQAgAAAAOQEAAGRycy9lMm9Eb2MueG1sUEsFBgAA&#10;AAAGAAYAWQEAAIgFAAAAAA=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napToGrid w:val="0"/>
          <w:color w:val="000000"/>
          <w:lang w:val="en-US" w:eastAsia="zh-CN"/>
        </w:rPr>
        <w:t xml:space="preserve">    </w:t>
      </w:r>
      <w:r>
        <w:rPr>
          <w:rFonts w:hint="eastAsia" w:ascii="Times New Roman" w:hAnsi="Times New Roman" w:eastAsia="宋体"/>
          <w:sz w:val="28"/>
          <w:szCs w:val="24"/>
          <w:lang w:val="en-US" w:eastAsia="zh-CN"/>
        </w:rPr>
        <w:t>D</w:t>
      </w:r>
      <w:r>
        <w:rPr>
          <w:rFonts w:hint="eastAsia" w:ascii="Times New Roman" w:hAnsi="Times New Roman" w:eastAsia="宋体" w:cs="Times New Roman"/>
          <w:b/>
          <w:bCs/>
          <w:sz w:val="28"/>
          <w:szCs w:val="24"/>
        </w:rPr>
        <w:t>BS</w:t>
      </w:r>
      <w:r>
        <w:rPr>
          <w:rFonts w:ascii="Times New Roman" w:hAnsi="Times New Roman" w:eastAsia="Times New Roman"/>
          <w:b w:val="0"/>
          <w:bCs w:val="0"/>
          <w:kern w:val="0"/>
          <w:sz w:val="28"/>
          <w:szCs w:val="24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4"/>
        </w:rPr>
        <w:t>37/XXX-XXXX</w:t>
      </w:r>
    </w:p>
    <w:p>
      <w:pPr>
        <w:pStyle w:val="14"/>
        <w:rPr>
          <w:rFonts w:hint="eastAsia"/>
          <w:snapToGrid w:val="0"/>
          <w:color w:val="000000"/>
        </w:rPr>
      </w:pPr>
    </w:p>
    <w:p>
      <w:pPr>
        <w:pStyle w:val="16"/>
        <w:ind w:firstLine="420"/>
        <w:rPr>
          <w:rFonts w:hint="eastAsia"/>
        </w:rPr>
      </w:pPr>
    </w:p>
    <w:p>
      <w:pPr>
        <w:pStyle w:val="14"/>
        <w:jc w:val="both"/>
        <w:rPr>
          <w:rFonts w:hint="eastAsia"/>
          <w:snapToGrid w:val="0"/>
          <w:color w:val="000000"/>
        </w:rPr>
      </w:pPr>
    </w:p>
    <w:p>
      <w:pPr>
        <w:pStyle w:val="14"/>
        <w:rPr>
          <w:rFonts w:hint="eastAsia"/>
          <w:snapToGrid w:val="0"/>
          <w:color w:val="000000"/>
        </w:rPr>
      </w:pPr>
    </w:p>
    <w:p>
      <w:pPr>
        <w:pStyle w:val="14"/>
        <w:rPr>
          <w:rFonts w:hint="eastAsia"/>
          <w:snapToGrid w:val="0"/>
          <w:color w:val="000000"/>
        </w:rPr>
      </w:pPr>
    </w:p>
    <w:p>
      <w:pPr>
        <w:pStyle w:val="14"/>
        <w:rPr>
          <w:rFonts w:hint="eastAsia"/>
          <w:snapToGrid w:val="0"/>
          <w:color w:val="000000"/>
        </w:rPr>
      </w:pPr>
    </w:p>
    <w:p>
      <w:pPr>
        <w:widowControl/>
        <w:numPr>
          <w:ilvl w:val="0"/>
          <w:numId w:val="0"/>
        </w:numPr>
        <w:tabs>
          <w:tab w:val="left" w:pos="360"/>
        </w:tabs>
        <w:adjustRightInd w:val="0"/>
        <w:snapToGrid w:val="0"/>
        <w:spacing w:after="156" w:afterLines="50" w:line="360" w:lineRule="auto"/>
        <w:rPr>
          <w:rFonts w:hint="eastAsia" w:eastAsia="黑体"/>
          <w:bCs/>
          <w:snapToGrid w:val="0"/>
          <w:color w:val="000000"/>
          <w:kern w:val="0"/>
          <w:sz w:val="32"/>
          <w:szCs w:val="32"/>
        </w:rPr>
      </w:pPr>
      <w:r>
        <w:rPr>
          <w:snapToGrid w:val="0"/>
          <w:color w:val="000000"/>
        </w:rPr>
        <w:tab/>
      </w:r>
    </w:p>
    <w:p>
      <w:pPr>
        <w:pStyle w:val="14"/>
        <w:jc w:val="both"/>
        <w:rPr>
          <w:rFonts w:hint="default" w:ascii="Times New Roman" w:hAnsi="Times New Roman" w:cs="Times New Roman"/>
          <w:snapToGrid w:val="0"/>
          <w:color w:val="000000"/>
          <w:sz w:val="28"/>
          <w:szCs w:val="28"/>
        </w:rPr>
      </w:pPr>
    </w:p>
    <w:p>
      <w:pPr>
        <w:pStyle w:val="14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547370</wp:posOffset>
                </wp:positionV>
                <wp:extent cx="5921375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13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25pt;margin-top:43.1pt;height:0.05pt;width:466.25pt;z-index:251663360;mso-width-relative:page;mso-height-relative:page;" filled="f" stroked="t" coordsize="21600,21600" o:gfxdata="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LSiL5/WAAAACQEAAA8AAAAAAAAAAQAgAAAAOAAAAGRycy9kb3ducmV2LnhtbFBL&#10;AQIUABQAAAAIAIdO4kA2lCdF4gEAAJwDAAAOAAAAAAAAAAEAIAAAADsBAABkcnMvZTJvRG9jLnht&#10;bFBLBQYAAAAABgAGAFkBAACPBQAAAAA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napToGrid w:val="0"/>
          <w:color w:val="000000"/>
          <w:sz w:val="28"/>
          <w:szCs w:val="28"/>
        </w:rPr>
        <w:t>XXXX-XX-XX</w:t>
      </w:r>
      <w:r>
        <w:rPr>
          <w:rFonts w:hint="default" w:ascii="Times New Roman" w:hAnsi="Times New Roman" w:cs="Times New Roman"/>
          <w:sz w:val="28"/>
          <w:szCs w:val="28"/>
        </w:rPr>
        <w:t xml:space="preserve">发布                           </w:t>
      </w:r>
      <w:r>
        <w:rPr>
          <w:rFonts w:hint="eastAsia" w:ascii="Times New Roman" w:cs="Times New Roman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XXXX-XX-XX实施</w:t>
      </w:r>
    </w:p>
    <w:p>
      <w:pPr>
        <w:pStyle w:val="14"/>
        <w:ind w:firstLine="1766" w:firstLineChars="400"/>
        <w:jc w:val="both"/>
        <w:rPr>
          <w:rFonts w:hint="eastAsia"/>
          <w:sz w:val="28"/>
          <w:szCs w:val="28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pgSz w:w="11907" w:h="16839"/>
          <w:pgMar w:top="1418" w:right="1134" w:bottom="1134" w:left="1418" w:header="1418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titlePg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山东省卫生健康委员会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pacing w:val="20"/>
          <w:w w:val="135"/>
          <w:sz w:val="28"/>
          <w:szCs w:val="28"/>
        </w:rPr>
        <w:t>发布</w:t>
      </w:r>
    </w:p>
    <w:p>
      <w:pPr>
        <w:spacing w:before="42" w:line="265" w:lineRule="exact"/>
        <w:jc w:val="both"/>
        <w:rPr>
          <w:rFonts w:ascii="黑体" w:hAnsi="黑体" w:eastAsia="黑体" w:cs="黑体"/>
          <w:sz w:val="20"/>
          <w:szCs w:val="20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0" w:line="228" w:lineRule="auto"/>
        <w:ind w:left="4249"/>
        <w:outlineLvl w:val="0"/>
        <w:rPr>
          <w:rFonts w:ascii="黑体" w:hAnsi="黑体" w:eastAsia="黑体" w:cs="黑体"/>
          <w:sz w:val="31"/>
          <w:szCs w:val="31"/>
        </w:rPr>
      </w:pPr>
      <w:bookmarkStart w:id="1" w:name="_bookmark1"/>
      <w:bookmarkEnd w:id="1"/>
      <w:r>
        <w:rPr>
          <w:rFonts w:ascii="黑体" w:hAnsi="黑体" w:eastAsia="黑体" w:cs="黑体"/>
          <w:spacing w:val="7"/>
          <w:sz w:val="31"/>
          <w:szCs w:val="31"/>
        </w:rPr>
        <w:t>前    言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3"/>
        <w:spacing w:line="360" w:lineRule="auto"/>
        <w:ind w:firstLine="480"/>
        <w:rPr>
          <w:rFonts w:hint="eastAsia" w:ascii="宋体" w:hAnsi="宋体" w:eastAsia="宋体" w:cs="黑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黑体"/>
          <w:snapToGrid w:val="0"/>
          <w:color w:val="000000"/>
          <w:sz w:val="21"/>
          <w:szCs w:val="21"/>
          <w:lang w:val="en-US" w:eastAsia="zh-CN" w:bidi="ar-SA"/>
        </w:rPr>
        <w:t>本</w:t>
      </w:r>
      <w:r>
        <w:rPr>
          <w:rFonts w:hint="eastAsia" w:hAnsi="宋体" w:cs="黑体"/>
          <w:snapToGrid w:val="0"/>
          <w:color w:val="000000"/>
          <w:sz w:val="21"/>
          <w:szCs w:val="21"/>
          <w:lang w:val="en-US" w:eastAsia="zh-CN" w:bidi="ar-SA"/>
        </w:rPr>
        <w:t>标准</w:t>
      </w:r>
      <w:r>
        <w:rPr>
          <w:rFonts w:hint="eastAsia" w:ascii="宋体" w:hAnsi="宋体" w:eastAsia="宋体" w:cs="黑体"/>
          <w:snapToGrid w:val="0"/>
          <w:color w:val="000000"/>
          <w:sz w:val="21"/>
          <w:szCs w:val="21"/>
          <w:lang w:val="en-US" w:eastAsia="zh-CN" w:bidi="ar-SA"/>
        </w:rPr>
        <w:t>由山东省卫生健康委员会归口。</w:t>
      </w:r>
    </w:p>
    <w:p>
      <w:pPr>
        <w:pStyle w:val="23"/>
        <w:spacing w:line="360" w:lineRule="auto"/>
        <w:ind w:firstLine="480"/>
        <w:rPr>
          <w:rFonts w:hint="eastAsia" w:ascii="宋体" w:hAnsi="宋体" w:eastAsia="宋体" w:cs="黑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黑体"/>
          <w:snapToGrid w:val="0"/>
          <w:color w:val="000000"/>
          <w:sz w:val="21"/>
          <w:szCs w:val="21"/>
          <w:lang w:val="en-US" w:eastAsia="zh-CN" w:bidi="ar-SA"/>
        </w:rPr>
        <w:t>本</w:t>
      </w:r>
      <w:r>
        <w:rPr>
          <w:rFonts w:hint="eastAsia" w:hAnsi="宋体" w:cs="黑体"/>
          <w:snapToGrid w:val="0"/>
          <w:color w:val="000000"/>
          <w:sz w:val="21"/>
          <w:szCs w:val="21"/>
          <w:lang w:val="en-US" w:eastAsia="zh-CN" w:bidi="ar-SA"/>
        </w:rPr>
        <w:t>标准</w:t>
      </w:r>
      <w:r>
        <w:rPr>
          <w:rFonts w:hint="eastAsia" w:ascii="宋体" w:hAnsi="宋体" w:eastAsia="宋体" w:cs="黑体"/>
          <w:snapToGrid w:val="0"/>
          <w:color w:val="000000"/>
          <w:sz w:val="21"/>
          <w:szCs w:val="21"/>
          <w:lang w:val="en-US" w:eastAsia="zh-CN" w:bidi="ar-SA"/>
        </w:rPr>
        <w:t>起草单位：</w:t>
      </w:r>
      <w:r>
        <w:rPr>
          <w:rFonts w:hint="eastAsia" w:hAnsi="宋体" w:cs="黑体"/>
          <w:snapToGrid w:val="0"/>
          <w:color w:val="000000"/>
          <w:sz w:val="21"/>
          <w:szCs w:val="21"/>
          <w:lang w:val="en-US" w:eastAsia="zh-CN" w:bidi="ar-SA"/>
        </w:rPr>
        <w:t>山东省疾病预防控制中心，威海市疾病预防控制中心，威海市文登区道地西洋参研究院</w:t>
      </w:r>
      <w:r>
        <w:rPr>
          <w:rFonts w:hint="eastAsia" w:ascii="宋体" w:hAnsi="宋体" w:eastAsia="宋体" w:cs="黑体"/>
          <w:snapToGrid w:val="0"/>
          <w:color w:val="000000"/>
          <w:sz w:val="21"/>
          <w:szCs w:val="21"/>
          <w:lang w:val="en-US" w:eastAsia="zh-CN" w:bidi="ar-SA"/>
        </w:rPr>
        <w:t>。</w:t>
      </w:r>
    </w:p>
    <w:p>
      <w:pPr>
        <w:pStyle w:val="23"/>
        <w:spacing w:line="360" w:lineRule="auto"/>
        <w:ind w:firstLine="480"/>
        <w:rPr>
          <w:rFonts w:hint="eastAsia" w:ascii="宋体" w:hAnsi="宋体" w:eastAsia="宋体" w:cs="黑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黑体"/>
          <w:snapToGrid w:val="0"/>
          <w:color w:val="000000"/>
          <w:sz w:val="21"/>
          <w:szCs w:val="21"/>
          <w:lang w:val="en-US" w:eastAsia="zh-CN" w:bidi="ar-SA"/>
        </w:rPr>
        <w:t>本</w:t>
      </w:r>
      <w:r>
        <w:rPr>
          <w:rFonts w:hint="eastAsia" w:hAnsi="宋体" w:cs="黑体"/>
          <w:snapToGrid w:val="0"/>
          <w:color w:val="000000"/>
          <w:sz w:val="21"/>
          <w:szCs w:val="21"/>
          <w:lang w:val="en-US" w:eastAsia="zh-CN" w:bidi="ar-SA"/>
        </w:rPr>
        <w:t>标准</w:t>
      </w:r>
      <w:r>
        <w:rPr>
          <w:rFonts w:hint="eastAsia" w:ascii="宋体" w:hAnsi="宋体" w:eastAsia="宋体" w:cs="黑体"/>
          <w:snapToGrid w:val="0"/>
          <w:color w:val="000000"/>
          <w:sz w:val="21"/>
          <w:szCs w:val="21"/>
          <w:lang w:val="en-US" w:eastAsia="zh-CN" w:bidi="ar-SA"/>
        </w:rPr>
        <w:t>主要起草人：。</w:t>
      </w:r>
    </w:p>
    <w:p>
      <w:pPr>
        <w:spacing w:before="67" w:line="227" w:lineRule="auto"/>
        <w:ind w:left="420"/>
        <w:rPr>
          <w:rFonts w:ascii="宋体" w:hAnsi="宋体" w:eastAsia="宋体" w:cs="宋体"/>
          <w:sz w:val="20"/>
          <w:szCs w:val="20"/>
        </w:rPr>
      </w:pPr>
    </w:p>
    <w:p>
      <w:pPr>
        <w:sectPr>
          <w:headerReference r:id="rId9" w:type="default"/>
          <w:footerReference r:id="rId10" w:type="default"/>
          <w:pgSz w:w="11906" w:h="16839"/>
          <w:pgMar w:top="1406" w:right="1133" w:bottom="1311" w:left="1427" w:header="0" w:footer="1134" w:gutter="0"/>
          <w:pgNumType w:fmt="decimal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1" w:line="227" w:lineRule="auto"/>
        <w:jc w:val="center"/>
        <w:rPr>
          <w:rFonts w:hint="eastAsia" w:ascii="黑体" w:hAnsi="黑体" w:eastAsia="黑体" w:cs="黑体"/>
          <w:spacing w:val="15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15"/>
          <w:sz w:val="31"/>
          <w:szCs w:val="31"/>
          <w:lang w:val="en-US" w:eastAsia="zh-CN"/>
        </w:rPr>
        <w:t>食品安全地方标准</w:t>
      </w:r>
    </w:p>
    <w:p>
      <w:pPr>
        <w:spacing w:line="320" w:lineRule="auto"/>
        <w:jc w:val="center"/>
        <w:rPr>
          <w:rFonts w:ascii="Arial"/>
          <w:sz w:val="21"/>
        </w:rPr>
      </w:pPr>
      <w:r>
        <w:rPr>
          <w:rFonts w:hint="eastAsia" w:ascii="黑体" w:hAnsi="黑体" w:eastAsia="黑体" w:cs="黑体"/>
          <w:spacing w:val="15"/>
          <w:sz w:val="31"/>
          <w:szCs w:val="31"/>
          <w:lang w:val="en-US" w:eastAsia="zh-CN"/>
        </w:rPr>
        <w:t>西洋参</w:t>
      </w:r>
    </w:p>
    <w:p>
      <w:pPr>
        <w:spacing w:line="320" w:lineRule="auto"/>
        <w:rPr>
          <w:rFonts w:ascii="Arial"/>
          <w:sz w:val="21"/>
        </w:rPr>
      </w:pPr>
    </w:p>
    <w:p>
      <w:pPr>
        <w:spacing w:before="65" w:line="231" w:lineRule="auto"/>
        <w:ind w:left="16"/>
        <w:outlineLvl w:val="0"/>
        <w:rPr>
          <w:rFonts w:ascii="Arial"/>
          <w:sz w:val="21"/>
        </w:rPr>
      </w:pPr>
      <w:bookmarkStart w:id="2" w:name="_bookmark2"/>
      <w:bookmarkEnd w:id="2"/>
      <w:r>
        <w:rPr>
          <w:rFonts w:ascii="黑体" w:hAnsi="黑体" w:eastAsia="黑体" w:cs="黑体"/>
          <w:spacing w:val="4"/>
          <w:sz w:val="20"/>
          <w:szCs w:val="20"/>
        </w:rPr>
        <w:t>1</w:t>
      </w:r>
      <w:r>
        <w:rPr>
          <w:rFonts w:ascii="黑体" w:hAnsi="黑体" w:eastAsia="黑体" w:cs="黑体"/>
          <w:spacing w:val="3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2"/>
          <w:sz w:val="20"/>
          <w:szCs w:val="20"/>
        </w:rPr>
        <w:t xml:space="preserve"> 范围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05" w:afterAutospacing="0" w:line="315" w:lineRule="atLeast"/>
        <w:ind w:right="0" w:firstLine="436" w:firstLineChars="200"/>
        <w:jc w:val="both"/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本标准适用于山东省内人工种植的西洋参。</w:t>
      </w:r>
    </w:p>
    <w:p>
      <w:pPr>
        <w:spacing w:before="65" w:line="360" w:lineRule="auto"/>
        <w:outlineLvl w:val="0"/>
        <w:rPr>
          <w:rFonts w:hint="default" w:ascii="黑体" w:hAnsi="黑体" w:eastAsia="黑体" w:cs="黑体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spacing w:val="2"/>
          <w:sz w:val="20"/>
          <w:szCs w:val="20"/>
          <w:lang w:val="en-US" w:eastAsia="zh-CN"/>
        </w:rPr>
        <w:t>2</w:t>
      </w:r>
      <w:r>
        <w:rPr>
          <w:rFonts w:ascii="黑体" w:hAnsi="黑体" w:eastAsia="黑体" w:cs="黑体"/>
          <w:spacing w:val="2"/>
          <w:sz w:val="20"/>
          <w:szCs w:val="20"/>
        </w:rPr>
        <w:t xml:space="preserve">  </w:t>
      </w:r>
      <w:r>
        <w:rPr>
          <w:rFonts w:hint="eastAsia" w:ascii="黑体" w:hAnsi="黑体" w:eastAsia="黑体" w:cs="黑体"/>
          <w:spacing w:val="2"/>
          <w:sz w:val="20"/>
          <w:szCs w:val="20"/>
          <w:lang w:val="en-US" w:eastAsia="zh-CN"/>
        </w:rPr>
        <w:t>术语和定义</w:t>
      </w:r>
    </w:p>
    <w:p>
      <w:pPr>
        <w:spacing w:line="360" w:lineRule="auto"/>
        <w:ind w:firstLine="436" w:firstLineChars="200"/>
        <w:rPr>
          <w:rFonts w:hint="default" w:ascii="宋体" w:hAnsi="宋体" w:eastAsia="宋体" w:cs="宋体"/>
          <w:spacing w:val="9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下列属于和定义适用于本文件。</w:t>
      </w:r>
    </w:p>
    <w:p>
      <w:pPr>
        <w:spacing w:before="65" w:line="231" w:lineRule="auto"/>
        <w:outlineLvl w:val="0"/>
        <w:rPr>
          <w:rFonts w:hint="eastAsia" w:ascii="黑体" w:hAnsi="黑体" w:eastAsia="黑体" w:cs="黑体"/>
          <w:spacing w:val="2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spacing w:val="2"/>
          <w:sz w:val="20"/>
          <w:szCs w:val="20"/>
          <w:lang w:val="en-US" w:eastAsia="zh-CN"/>
        </w:rPr>
        <w:t>2.1西洋参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413" w:firstLine="436" w:firstLineChars="200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spacing w:val="9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spacing w:val="9"/>
          <w:kern w:val="0"/>
          <w:sz w:val="20"/>
          <w:szCs w:val="20"/>
          <w:lang w:val="en-US" w:eastAsia="zh-CN" w:bidi="ar"/>
        </w:rPr>
        <w:t>为五加科植物西洋参（</w:t>
      </w:r>
      <w:r>
        <w:rPr>
          <w:rFonts w:hint="eastAsia" w:ascii="宋体" w:hAnsi="宋体" w:eastAsia="宋体" w:cs="宋体"/>
          <w:i/>
          <w:iCs/>
          <w:snapToGrid w:val="0"/>
          <w:color w:val="000000"/>
          <w:spacing w:val="9"/>
          <w:kern w:val="0"/>
          <w:sz w:val="20"/>
          <w:szCs w:val="20"/>
          <w:lang w:val="en-US" w:eastAsia="zh-CN" w:bidi="ar"/>
        </w:rPr>
        <w:t>Panax quinquefolium L.</w:t>
      </w:r>
      <w:r>
        <w:rPr>
          <w:rFonts w:hint="eastAsia" w:ascii="宋体" w:hAnsi="宋体" w:eastAsia="宋体" w:cs="宋体"/>
          <w:snapToGrid w:val="0"/>
          <w:color w:val="000000"/>
          <w:spacing w:val="9"/>
          <w:kern w:val="0"/>
          <w:sz w:val="20"/>
          <w:szCs w:val="20"/>
          <w:lang w:val="en-US" w:eastAsia="zh-CN" w:bidi="ar"/>
        </w:rPr>
        <w:t>）的干燥根。经采挖，洗净，晒干或低温干燥等工序制成。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"/>
        <w:textAlignment w:val="baseline"/>
        <w:outlineLvl w:val="0"/>
        <w:rPr>
          <w:rFonts w:ascii="Arial"/>
          <w:sz w:val="21"/>
        </w:rPr>
      </w:pPr>
      <w:bookmarkStart w:id="3" w:name="_bookmark3"/>
      <w:bookmarkEnd w:id="3"/>
      <w:r>
        <w:rPr>
          <w:rFonts w:hint="eastAsia" w:ascii="黑体" w:hAnsi="黑体" w:eastAsia="黑体" w:cs="黑体"/>
          <w:spacing w:val="13"/>
          <w:sz w:val="20"/>
          <w:szCs w:val="20"/>
          <w:lang w:val="en-US" w:eastAsia="zh-CN"/>
        </w:rPr>
        <w:t>3</w:t>
      </w:r>
      <w:r>
        <w:rPr>
          <w:rFonts w:ascii="黑体" w:hAnsi="黑体" w:eastAsia="黑体" w:cs="黑体"/>
          <w:spacing w:val="7"/>
          <w:sz w:val="20"/>
          <w:szCs w:val="20"/>
        </w:rPr>
        <w:t xml:space="preserve">  </w:t>
      </w:r>
      <w:r>
        <w:rPr>
          <w:rFonts w:hint="eastAsia" w:ascii="黑体" w:hAnsi="黑体" w:eastAsia="黑体" w:cs="黑体"/>
          <w:spacing w:val="7"/>
          <w:sz w:val="20"/>
          <w:szCs w:val="20"/>
          <w:lang w:val="en-US" w:eastAsia="zh-CN"/>
        </w:rPr>
        <w:t>技术要求</w:t>
      </w:r>
    </w:p>
    <w:p>
      <w:pPr>
        <w:spacing w:before="65" w:line="231" w:lineRule="auto"/>
        <w:ind w:left="16" w:firstLine="408" w:firstLineChars="200"/>
        <w:outlineLvl w:val="0"/>
        <w:rPr>
          <w:rFonts w:hint="eastAsia" w:ascii="黑体" w:hAnsi="黑体" w:eastAsia="黑体" w:cs="黑体"/>
          <w:spacing w:val="2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spacing w:val="2"/>
          <w:sz w:val="20"/>
          <w:szCs w:val="20"/>
          <w:lang w:val="en-US" w:eastAsia="zh-CN"/>
        </w:rPr>
        <w:t>3.1 原料要求</w:t>
      </w:r>
    </w:p>
    <w:p>
      <w:pPr>
        <w:spacing w:before="66" w:line="226" w:lineRule="auto"/>
        <w:ind w:firstLine="400" w:firstLineChars="200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3.1.1 西洋参鲜品应新鲜、无霉变、无污染，种植过程应符合国家相关标准的规定。</w:t>
      </w:r>
    </w:p>
    <w:p>
      <w:pPr>
        <w:pStyle w:val="24"/>
        <w:numPr>
          <w:ilvl w:val="2"/>
          <w:numId w:val="0"/>
        </w:numPr>
        <w:ind w:firstLine="400" w:firstLineChars="200"/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/>
        </w:rPr>
        <w:t>3.1.2 生产加工用水应符合GB 5749的规定。</w:t>
      </w:r>
    </w:p>
    <w:p>
      <w:pPr>
        <w:spacing w:before="65" w:line="231" w:lineRule="auto"/>
        <w:ind w:left="16" w:firstLine="408" w:firstLineChars="200"/>
        <w:outlineLvl w:val="0"/>
        <w:rPr>
          <w:rFonts w:hint="eastAsia" w:ascii="黑体" w:hAnsi="黑体" w:eastAsia="黑体" w:cs="黑体"/>
          <w:spacing w:val="2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spacing w:val="2"/>
          <w:sz w:val="20"/>
          <w:szCs w:val="20"/>
          <w:lang w:val="en-US" w:eastAsia="zh-CN"/>
        </w:rPr>
        <w:t>3.2 感官要求</w:t>
      </w:r>
    </w:p>
    <w:p>
      <w:pPr>
        <w:spacing w:before="66" w:line="226" w:lineRule="auto"/>
        <w:ind w:left="423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感官要求应符合表1的规定。</w:t>
      </w:r>
    </w:p>
    <w:p>
      <w:pPr>
        <w:spacing w:before="66" w:line="226" w:lineRule="auto"/>
        <w:jc w:val="center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表1 感官要求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1"/>
        <w:gridCol w:w="3633"/>
        <w:gridCol w:w="3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</w:tcPr>
          <w:p>
            <w:pPr>
              <w:widowControl w:val="0"/>
              <w:spacing w:before="66" w:line="226" w:lineRule="auto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</w:t>
            </w:r>
          </w:p>
        </w:tc>
        <w:tc>
          <w:tcPr>
            <w:tcW w:w="3633" w:type="dxa"/>
          </w:tcPr>
          <w:p>
            <w:pPr>
              <w:widowControl w:val="0"/>
              <w:spacing w:before="66" w:line="226" w:lineRule="auto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要求</w:t>
            </w:r>
          </w:p>
        </w:tc>
        <w:tc>
          <w:tcPr>
            <w:tcW w:w="3208" w:type="dxa"/>
          </w:tcPr>
          <w:p>
            <w:pPr>
              <w:widowControl w:val="0"/>
              <w:spacing w:before="66" w:line="226" w:lineRule="auto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  <w:vAlign w:val="center"/>
          </w:tcPr>
          <w:p>
            <w:pPr>
              <w:widowControl w:val="0"/>
              <w:spacing w:before="66" w:line="226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形 态</w:t>
            </w:r>
          </w:p>
        </w:tc>
        <w:tc>
          <w:tcPr>
            <w:tcW w:w="3633" w:type="dxa"/>
            <w:vAlign w:val="center"/>
          </w:tcPr>
          <w:p>
            <w:pPr>
              <w:widowControl w:val="0"/>
              <w:spacing w:before="66" w:line="226" w:lineRule="auto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呈纺锤形、圆柱形或圆锥形，长3〜12cm, 直径0.8〜2cm。可见横向环纹和线形皮孔状突起，并有细密浅纵皱纹和须根痕。主根中下部有一至数条侧根，多已折断。有的上端有根茎（芦头），环节明 显，茎痕（芦碗）圆形或半圆形，具不定根（芋）或已折断。</w:t>
            </w:r>
          </w:p>
        </w:tc>
        <w:tc>
          <w:tcPr>
            <w:tcW w:w="3208" w:type="dxa"/>
            <w:vMerge w:val="restart"/>
            <w:vAlign w:val="center"/>
          </w:tcPr>
          <w:p>
            <w:pPr>
              <w:widowControl w:val="0"/>
              <w:spacing w:before="66" w:line="226" w:lineRule="auto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取适量样品置于洁净白色瓷盘中，在自然光线下目测其色泽、杂质，嗅其气味，尝其滋味。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  <w:vAlign w:val="center"/>
          </w:tcPr>
          <w:p>
            <w:pPr>
              <w:widowControl w:val="0"/>
              <w:spacing w:before="66" w:line="226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色 泽</w:t>
            </w:r>
          </w:p>
        </w:tc>
        <w:tc>
          <w:tcPr>
            <w:tcW w:w="3633" w:type="dxa"/>
            <w:vAlign w:val="center"/>
          </w:tcPr>
          <w:p>
            <w:pPr>
              <w:widowControl w:val="0"/>
              <w:spacing w:before="66" w:line="226" w:lineRule="auto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表面浅黄褐色或黄白色。断面平坦，浅黄白色，略显粉性,皮部可见黄棕色点状树脂道，形成层环纹棕黄色</w:t>
            </w:r>
          </w:p>
        </w:tc>
        <w:tc>
          <w:tcPr>
            <w:tcW w:w="3208" w:type="dxa"/>
            <w:vMerge w:val="continue"/>
          </w:tcPr>
          <w:p>
            <w:pPr>
              <w:widowControl w:val="0"/>
              <w:spacing w:before="66" w:line="226" w:lineRule="auto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81" w:type="dxa"/>
            <w:vAlign w:val="center"/>
          </w:tcPr>
          <w:p>
            <w:pPr>
              <w:widowControl w:val="0"/>
              <w:spacing w:before="66" w:line="226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气味、滋味</w:t>
            </w:r>
          </w:p>
        </w:tc>
        <w:tc>
          <w:tcPr>
            <w:tcW w:w="3633" w:type="dxa"/>
            <w:vAlign w:val="center"/>
          </w:tcPr>
          <w:p>
            <w:pPr>
              <w:widowControl w:val="0"/>
              <w:spacing w:before="66" w:line="226" w:lineRule="auto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气微而特异，味微苦、甘。</w:t>
            </w:r>
          </w:p>
        </w:tc>
        <w:tc>
          <w:tcPr>
            <w:tcW w:w="3208" w:type="dxa"/>
            <w:vMerge w:val="continue"/>
          </w:tcPr>
          <w:p>
            <w:pPr>
              <w:widowControl w:val="0"/>
              <w:spacing w:before="66" w:line="226" w:lineRule="auto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  <w:vAlign w:val="center"/>
          </w:tcPr>
          <w:p>
            <w:pPr>
              <w:widowControl w:val="0"/>
              <w:spacing w:before="66" w:line="226" w:lineRule="auto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杂 质</w:t>
            </w:r>
          </w:p>
        </w:tc>
        <w:tc>
          <w:tcPr>
            <w:tcW w:w="3633" w:type="dxa"/>
            <w:vAlign w:val="center"/>
          </w:tcPr>
          <w:p>
            <w:pPr>
              <w:widowControl w:val="0"/>
              <w:spacing w:before="66" w:line="226" w:lineRule="auto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无肉眼可见的外来杂质。</w:t>
            </w:r>
          </w:p>
        </w:tc>
        <w:tc>
          <w:tcPr>
            <w:tcW w:w="3208" w:type="dxa"/>
          </w:tcPr>
          <w:p>
            <w:pPr>
              <w:widowControl w:val="0"/>
              <w:spacing w:before="66" w:line="226" w:lineRule="auto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</w:tbl>
    <w:p>
      <w:pPr>
        <w:spacing w:before="66" w:line="226" w:lineRule="auto"/>
        <w:ind w:firstLine="400" w:firstLineChars="200"/>
        <w:jc w:val="both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before="65" w:line="231" w:lineRule="auto"/>
        <w:ind w:left="16" w:firstLine="408" w:firstLineChars="200"/>
        <w:outlineLvl w:val="0"/>
        <w:rPr>
          <w:rFonts w:hint="eastAsia" w:ascii="黑体" w:hAnsi="黑体" w:eastAsia="黑体" w:cs="黑体"/>
          <w:spacing w:val="2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spacing w:val="2"/>
          <w:sz w:val="20"/>
          <w:szCs w:val="20"/>
          <w:lang w:val="en-US" w:eastAsia="zh-CN"/>
        </w:rPr>
        <w:t>3.3 理化指标</w:t>
      </w:r>
    </w:p>
    <w:p>
      <w:pPr>
        <w:spacing w:before="66" w:line="226" w:lineRule="auto"/>
        <w:jc w:val="center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表2 理化指标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3648"/>
        <w:gridCol w:w="3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>
            <w:pPr>
              <w:widowControl w:val="0"/>
              <w:spacing w:before="66" w:line="22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项目</w:t>
            </w:r>
          </w:p>
        </w:tc>
        <w:tc>
          <w:tcPr>
            <w:tcW w:w="3648" w:type="dxa"/>
          </w:tcPr>
          <w:p>
            <w:pPr>
              <w:widowControl w:val="0"/>
              <w:spacing w:before="66" w:line="22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指标</w:t>
            </w:r>
          </w:p>
        </w:tc>
        <w:tc>
          <w:tcPr>
            <w:tcW w:w="3208" w:type="dxa"/>
          </w:tcPr>
          <w:p>
            <w:pPr>
              <w:widowControl w:val="0"/>
              <w:spacing w:before="66" w:line="22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>
            <w:pPr>
              <w:widowControl w:val="0"/>
              <w:spacing w:before="66" w:line="226" w:lineRule="auto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水分，g/100 g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sz w:val="18"/>
                <w:szCs w:val="18"/>
              </w:rPr>
              <w:t>≤</w:t>
            </w:r>
          </w:p>
        </w:tc>
        <w:tc>
          <w:tcPr>
            <w:tcW w:w="3648" w:type="dxa"/>
          </w:tcPr>
          <w:p>
            <w:pPr>
              <w:widowControl w:val="0"/>
              <w:spacing w:before="66" w:line="226" w:lineRule="auto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13.0</w:t>
            </w:r>
          </w:p>
        </w:tc>
        <w:tc>
          <w:tcPr>
            <w:tcW w:w="3208" w:type="dxa"/>
          </w:tcPr>
          <w:p>
            <w:pPr>
              <w:widowControl w:val="0"/>
              <w:spacing w:before="66" w:line="22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</w:rPr>
              <w:t>GB 5009.3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>
            <w:pPr>
              <w:widowControl w:val="0"/>
              <w:spacing w:before="66" w:line="226" w:lineRule="auto"/>
              <w:jc w:val="both"/>
              <w:rPr>
                <w:rFonts w:hint="eastAsia" w:ascii="宋体" w:hAnsi="宋体" w:eastAsia="微软雅黑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总灰分</w:t>
            </w:r>
            <w:r>
              <w:rPr>
                <w:sz w:val="18"/>
                <w:szCs w:val="18"/>
              </w:rPr>
              <w:t>，g/100 g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ascii="宋体" w:hAnsi="宋体"/>
                <w:sz w:val="18"/>
                <w:szCs w:val="18"/>
              </w:rPr>
              <w:t>≤</w:t>
            </w:r>
          </w:p>
        </w:tc>
        <w:tc>
          <w:tcPr>
            <w:tcW w:w="3648" w:type="dxa"/>
          </w:tcPr>
          <w:p>
            <w:pPr>
              <w:widowControl w:val="0"/>
              <w:spacing w:before="66" w:line="22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5.0</w:t>
            </w:r>
          </w:p>
        </w:tc>
        <w:tc>
          <w:tcPr>
            <w:tcW w:w="3208" w:type="dxa"/>
          </w:tcPr>
          <w:p>
            <w:pPr>
              <w:widowControl w:val="0"/>
              <w:spacing w:before="66" w:line="22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</w:rPr>
              <w:t>GB 5009.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4 第一法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6" w:type="dxa"/>
          </w:tcPr>
          <w:p>
            <w:pPr>
              <w:widowControl w:val="0"/>
              <w:spacing w:before="66" w:line="226" w:lineRule="auto"/>
              <w:ind w:left="200" w:hanging="200" w:hangingChars="10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总皂苷，</w:t>
            </w:r>
            <w:r>
              <w:rPr>
                <w:sz w:val="18"/>
                <w:szCs w:val="18"/>
              </w:rPr>
              <w:t>g/100 g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ascii="宋体" w:hAnsi="宋体"/>
                <w:sz w:val="18"/>
                <w:szCs w:val="18"/>
              </w:rPr>
              <w:t>≥</w:t>
            </w:r>
          </w:p>
        </w:tc>
        <w:tc>
          <w:tcPr>
            <w:tcW w:w="3648" w:type="dxa"/>
          </w:tcPr>
          <w:p>
            <w:pPr>
              <w:widowControl w:val="0"/>
              <w:spacing w:before="66" w:line="22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2. 0</w:t>
            </w:r>
          </w:p>
        </w:tc>
        <w:tc>
          <w:tcPr>
            <w:tcW w:w="320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《保健食品理化及卫生指标检验与评价技术指导原则》</w:t>
            </w:r>
          </w:p>
        </w:tc>
      </w:tr>
    </w:tbl>
    <w:p>
      <w:pPr>
        <w:spacing w:before="66" w:line="226" w:lineRule="auto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before="65" w:line="360" w:lineRule="auto"/>
        <w:ind w:left="16" w:firstLine="408" w:firstLineChars="200"/>
        <w:outlineLvl w:val="0"/>
        <w:rPr>
          <w:rFonts w:hint="eastAsia" w:ascii="黑体" w:hAnsi="黑体" w:eastAsia="黑体" w:cs="黑体"/>
          <w:spacing w:val="2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spacing w:val="2"/>
          <w:sz w:val="20"/>
          <w:szCs w:val="20"/>
          <w:lang w:val="en-US" w:eastAsia="zh-CN"/>
        </w:rPr>
        <w:t>3.4 污染物限量</w:t>
      </w:r>
    </w:p>
    <w:p>
      <w:pPr>
        <w:pStyle w:val="16"/>
        <w:tabs>
          <w:tab w:val="center" w:pos="4201"/>
          <w:tab w:val="right" w:leader="dot" w:pos="9298"/>
        </w:tabs>
        <w:spacing w:line="360" w:lineRule="auto"/>
        <w:ind w:firstLine="800" w:firstLineChars="400"/>
        <w:rPr>
          <w:rFonts w:hint="eastAsia" w:ascii="Times New Roma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/>
        </w:rPr>
        <w:t>污染物限量应符合表3的规定。</w:t>
      </w:r>
    </w:p>
    <w:p>
      <w:pPr>
        <w:pStyle w:val="27"/>
        <w:numPr>
          <w:ilvl w:val="0"/>
          <w:numId w:val="0"/>
        </w:numPr>
        <w:ind w:leftChars="0"/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/>
        </w:rPr>
        <w:t>表3 污染物限量</w:t>
      </w:r>
    </w:p>
    <w:tbl>
      <w:tblPr>
        <w:tblStyle w:val="7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项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Ansi="宋体"/>
                <w:sz w:val="18"/>
                <w:szCs w:val="18"/>
              </w:rPr>
              <w:t>目</w:t>
            </w:r>
          </w:p>
        </w:tc>
        <w:tc>
          <w:tcPr>
            <w:tcW w:w="319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  标</w:t>
            </w:r>
          </w:p>
        </w:tc>
        <w:tc>
          <w:tcPr>
            <w:tcW w:w="319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检验方法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铅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Ansi="宋体"/>
                <w:sz w:val="18"/>
                <w:szCs w:val="18"/>
              </w:rPr>
              <w:t>以</w:t>
            </w:r>
            <w:r>
              <w:rPr>
                <w:sz w:val="18"/>
                <w:szCs w:val="18"/>
              </w:rPr>
              <w:t>Pb</w:t>
            </w:r>
            <w:r>
              <w:rPr>
                <w:rFonts w:hAnsi="宋体"/>
                <w:sz w:val="18"/>
                <w:szCs w:val="18"/>
              </w:rPr>
              <w:t>计</w:t>
            </w:r>
            <w:r>
              <w:rPr>
                <w:sz w:val="18"/>
                <w:szCs w:val="18"/>
              </w:rPr>
              <w:t>)</w:t>
            </w:r>
            <w:r>
              <w:rPr>
                <w:rFonts w:hAnsi="宋体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 xml:space="preserve">mg/kg           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>≤</w:t>
            </w:r>
          </w:p>
        </w:tc>
        <w:tc>
          <w:tcPr>
            <w:tcW w:w="31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31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 5009.12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镉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Ansi="宋体"/>
                <w:sz w:val="18"/>
                <w:szCs w:val="18"/>
              </w:rPr>
              <w:t>以</w:t>
            </w:r>
            <w:r>
              <w:rPr>
                <w:sz w:val="18"/>
                <w:szCs w:val="18"/>
              </w:rPr>
              <w:t>Cd</w:t>
            </w:r>
            <w:r>
              <w:rPr>
                <w:rFonts w:hAnsi="宋体"/>
                <w:sz w:val="18"/>
                <w:szCs w:val="18"/>
              </w:rPr>
              <w:t>计</w:t>
            </w:r>
            <w:r>
              <w:rPr>
                <w:sz w:val="18"/>
                <w:szCs w:val="18"/>
              </w:rPr>
              <w:t>)</w:t>
            </w:r>
            <w:r>
              <w:rPr>
                <w:rFonts w:hAnsi="宋体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 xml:space="preserve">mg/kg            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≤</w:t>
            </w:r>
          </w:p>
        </w:tc>
        <w:tc>
          <w:tcPr>
            <w:tcW w:w="31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31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 5009.15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c>
          <w:tcPr>
            <w:tcW w:w="31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  <w:lang w:eastAsia="zh-CN"/>
              </w:rPr>
              <w:t>总</w:t>
            </w:r>
            <w:r>
              <w:rPr>
                <w:sz w:val="18"/>
                <w:szCs w:val="18"/>
              </w:rPr>
              <w:t>汞（</w:t>
            </w:r>
            <w:r>
              <w:rPr>
                <w:rFonts w:hAnsi="宋体"/>
                <w:sz w:val="18"/>
                <w:szCs w:val="18"/>
              </w:rPr>
              <w:t>以</w:t>
            </w:r>
            <w:r>
              <w:rPr>
                <w:sz w:val="18"/>
                <w:szCs w:val="18"/>
              </w:rPr>
              <w:t>Hg</w:t>
            </w:r>
            <w:r>
              <w:rPr>
                <w:rFonts w:hAnsi="宋体"/>
                <w:sz w:val="18"/>
                <w:szCs w:val="18"/>
              </w:rPr>
              <w:t>计</w:t>
            </w:r>
            <w:r>
              <w:rPr>
                <w:sz w:val="18"/>
                <w:szCs w:val="18"/>
              </w:rPr>
              <w:t xml:space="preserve">），mg/kg    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ascii="宋体" w:hAnsi="宋体"/>
                <w:sz w:val="18"/>
                <w:szCs w:val="18"/>
              </w:rPr>
              <w:t>≤</w:t>
            </w:r>
          </w:p>
        </w:tc>
        <w:tc>
          <w:tcPr>
            <w:tcW w:w="31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bookmarkStart w:id="6" w:name="_GoBack"/>
            <w:bookmarkEnd w:id="6"/>
            <w:r>
              <w:rPr>
                <w:sz w:val="18"/>
                <w:szCs w:val="18"/>
              </w:rPr>
              <w:t>0.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31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 5009.17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hAnsi="宋体" w:eastAsia="宋体"/>
                <w:sz w:val="18"/>
                <w:szCs w:val="18"/>
                <w:lang w:eastAsia="zh-CN"/>
              </w:rPr>
              <w:t>总</w:t>
            </w:r>
            <w:r>
              <w:rPr>
                <w:rFonts w:hAnsi="宋体"/>
                <w:sz w:val="18"/>
                <w:szCs w:val="18"/>
              </w:rPr>
              <w:t>砷</w:t>
            </w:r>
            <w:r>
              <w:rPr>
                <w:sz w:val="18"/>
                <w:szCs w:val="18"/>
              </w:rPr>
              <w:t>（以As</w:t>
            </w:r>
            <w:r>
              <w:rPr>
                <w:rFonts w:hAnsi="宋体"/>
                <w:sz w:val="18"/>
                <w:szCs w:val="18"/>
              </w:rPr>
              <w:t>计），</w:t>
            </w:r>
            <w:r>
              <w:rPr>
                <w:sz w:val="18"/>
                <w:szCs w:val="18"/>
              </w:rPr>
              <w:t xml:space="preserve">mg/kg         </w:t>
            </w:r>
            <w:r>
              <w:rPr>
                <w:rFonts w:ascii="宋体" w:hAnsi="宋体"/>
                <w:sz w:val="18"/>
                <w:szCs w:val="18"/>
              </w:rPr>
              <w:t>≤</w:t>
            </w:r>
          </w:p>
        </w:tc>
        <w:tc>
          <w:tcPr>
            <w:tcW w:w="3190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0.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190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GB 5009.11</w:t>
            </w:r>
          </w:p>
        </w:tc>
      </w:tr>
    </w:tbl>
    <w:p>
      <w:pPr>
        <w:spacing w:before="66" w:line="226" w:lineRule="auto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before="65" w:line="360" w:lineRule="auto"/>
        <w:ind w:left="16" w:firstLine="408" w:firstLineChars="200"/>
        <w:outlineLvl w:val="0"/>
        <w:rPr>
          <w:rFonts w:hint="eastAsia" w:ascii="黑体" w:hAnsi="黑体" w:eastAsia="黑体" w:cs="黑体"/>
          <w:spacing w:val="2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spacing w:val="2"/>
          <w:sz w:val="20"/>
          <w:szCs w:val="20"/>
          <w:lang w:val="en-US" w:eastAsia="zh-CN"/>
        </w:rPr>
        <w:t>3.5 农药残留限量</w:t>
      </w:r>
    </w:p>
    <w:p>
      <w:pPr>
        <w:pStyle w:val="16"/>
        <w:tabs>
          <w:tab w:val="center" w:pos="4201"/>
          <w:tab w:val="right" w:leader="dot" w:pos="9298"/>
        </w:tabs>
        <w:ind w:firstLine="800" w:firstLineChars="400"/>
        <w:rPr>
          <w:rFonts w:hint="eastAsia" w:ascii="Times New Roma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/>
        </w:rPr>
        <w:t>农药残留应符合GB 2763规定。</w:t>
      </w:r>
    </w:p>
    <w:p>
      <w:pPr>
        <w:spacing w:before="66" w:line="360" w:lineRule="auto"/>
        <w:ind w:left="5" w:firstLine="428" w:firstLineChars="200"/>
        <w:outlineLvl w:val="0"/>
        <w:rPr>
          <w:rFonts w:hint="eastAsia" w:ascii="黑体" w:hAnsi="黑体" w:eastAsia="黑体" w:cs="黑体"/>
          <w:sz w:val="20"/>
          <w:szCs w:val="20"/>
          <w:lang w:eastAsia="zh-CN"/>
        </w:rPr>
      </w:pPr>
      <w:bookmarkStart w:id="4" w:name="_bookmark4"/>
      <w:bookmarkEnd w:id="4"/>
      <w:r>
        <w:rPr>
          <w:rFonts w:hint="eastAsia" w:ascii="黑体" w:hAnsi="黑体" w:eastAsia="黑体" w:cs="黑体"/>
          <w:spacing w:val="7"/>
          <w:sz w:val="20"/>
          <w:szCs w:val="20"/>
          <w:lang w:val="en-US" w:eastAsia="zh-CN"/>
        </w:rPr>
        <w:t>4</w:t>
      </w:r>
      <w:r>
        <w:rPr>
          <w:rFonts w:ascii="黑体" w:hAnsi="黑体" w:eastAsia="黑体" w:cs="黑体"/>
          <w:spacing w:val="7"/>
          <w:sz w:val="20"/>
          <w:szCs w:val="20"/>
        </w:rPr>
        <w:t xml:space="preserve"> </w:t>
      </w:r>
      <w:r>
        <w:rPr>
          <w:rFonts w:hint="eastAsia" w:ascii="黑体" w:hAnsi="黑体" w:eastAsia="黑体" w:cs="黑体"/>
          <w:spacing w:val="7"/>
          <w:sz w:val="20"/>
          <w:szCs w:val="20"/>
          <w:lang w:val="en-US" w:eastAsia="zh-CN"/>
        </w:rPr>
        <w:t>其他</w:t>
      </w:r>
    </w:p>
    <w:p>
      <w:pPr>
        <w:keepNext w:val="0"/>
        <w:keepLines w:val="0"/>
        <w:widowControl/>
        <w:suppressLineNumbers w:val="0"/>
        <w:spacing w:line="360" w:lineRule="auto"/>
        <w:ind w:firstLine="400" w:firstLineChars="20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 w:bidi="ar-SA"/>
        </w:rPr>
      </w:pPr>
      <w:bookmarkStart w:id="5" w:name="_bookmark5"/>
      <w:bookmarkEnd w:id="5"/>
      <w:r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 w:bidi="ar-SA"/>
        </w:rPr>
        <w:t xml:space="preserve">4.1西洋参推荐食用量≤4克/天。 </w:t>
      </w:r>
    </w:p>
    <w:p>
      <w:pPr>
        <w:keepNext w:val="0"/>
        <w:keepLines w:val="0"/>
        <w:widowControl/>
        <w:suppressLineNumbers w:val="0"/>
        <w:spacing w:line="360" w:lineRule="auto"/>
        <w:ind w:firstLine="400" w:firstLineChars="20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 w:bidi="ar-SA"/>
        </w:rPr>
        <w:t xml:space="preserve">4.2以西洋参做食品原料，成品折算日摄入总量不应超过“推荐食用量”。 </w:t>
      </w:r>
    </w:p>
    <w:p>
      <w:pPr>
        <w:keepNext w:val="0"/>
        <w:keepLines w:val="0"/>
        <w:widowControl/>
        <w:suppressLineNumbers w:val="0"/>
        <w:spacing w:line="360" w:lineRule="auto"/>
        <w:ind w:firstLine="400" w:firstLineChars="20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 w:bidi="ar-SA"/>
        </w:rPr>
        <w:t xml:space="preserve">4.3含西洋参的食品产品标签应标示“婴幼儿、孕妇及乳母不宜食用”等警示语。 </w:t>
      </w:r>
    </w:p>
    <w:p>
      <w:pPr>
        <w:keepNext w:val="0"/>
        <w:keepLines w:val="0"/>
        <w:widowControl/>
        <w:suppressLineNumbers w:val="0"/>
        <w:spacing w:line="360" w:lineRule="auto"/>
        <w:ind w:firstLine="400" w:firstLineChars="20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 w:bidi="ar-SA"/>
        </w:rPr>
        <w:t>4.4西洋参做食品原料不应使用破壁、炮制、分离、纯化、萃取等强调药品属性工艺，仅适用于粉碎、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 w:bidi="ar-SA"/>
        </w:rPr>
        <w:t>切片、水煮(冲泡)、泡酒等传统生产加工工艺；其产品标签、说明书、广告、宣传不应涉及疾病预防及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 w:bidi="ar-SA"/>
        </w:rPr>
        <w:t>治疗功能等内容。</w:t>
      </w:r>
    </w:p>
    <w:p>
      <w:pPr>
        <w:spacing w:line="360" w:lineRule="auto"/>
        <w:ind w:firstLine="400" w:firstLineChars="200"/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 w:bidi="ar-SA"/>
        </w:rPr>
      </w:pPr>
    </w:p>
    <w:p>
      <w:pPr>
        <w:spacing w:line="309" w:lineRule="auto"/>
        <w:jc w:val="center"/>
        <w:rPr>
          <w:rFonts w:hint="eastAsia" w:ascii="宋体" w:hAnsi="宋体" w:eastAsia="宋体" w:cs="宋体"/>
          <w:position w:val="10"/>
          <w:sz w:val="20"/>
          <w:szCs w:val="20"/>
          <w:lang w:val="en-US" w:eastAsia="zh-C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129540</wp:posOffset>
                </wp:positionV>
                <wp:extent cx="3192145" cy="8255"/>
                <wp:effectExtent l="0" t="4445" r="8255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3192145" cy="8255"/>
                        </a:xfrm>
                        <a:prstGeom prst="line">
                          <a:avLst/>
                        </a:prstGeom>
                        <a:ln w="0" cmpd="sng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5.5pt;margin-top:10.2pt;height:0.65pt;width:251.35pt;z-index:251664384;mso-width-relative:page;mso-height-relative:page;" filled="f" stroked="t" coordsize="21600,21600" o:gfxdata="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A6lpBvWAAAACQEAAA8AAAAAAAAAAQAgAAAAOAAAAGRycy9kb3ducmV2LnhtbFBLAQIU&#10;ABQAAAAIAIdO4kAxtuUI3wEAAJIDAAAOAAAAAAAAAAEAIAAAADsBAABkcnMvZTJvRG9jLnhtbFBL&#10;BQYAAAAABgAGAFkBAACMBQAAAAA=&#10;">
                <v:fill on="f" focussize="0,0"/>
                <v:stroke weight="0pt" color="#404040 [2429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09" w:lineRule="auto"/>
        <w:jc w:val="center"/>
        <w:rPr>
          <w:rFonts w:hint="eastAsia" w:ascii="宋体" w:hAnsi="宋体" w:eastAsia="宋体" w:cs="宋体"/>
          <w:position w:val="10"/>
          <w:sz w:val="20"/>
          <w:szCs w:val="20"/>
          <w:lang w:val="en-US" w:eastAsia="zh-CN"/>
        </w:rPr>
      </w:pPr>
    </w:p>
    <w:p>
      <w:pPr>
        <w:spacing w:line="309" w:lineRule="auto"/>
        <w:jc w:val="center"/>
        <w:rPr>
          <w:rFonts w:hint="eastAsia" w:ascii="宋体" w:hAnsi="宋体" w:eastAsia="宋体" w:cs="宋体"/>
          <w:position w:val="10"/>
          <w:sz w:val="20"/>
          <w:szCs w:val="20"/>
          <w:lang w:val="en-US" w:eastAsia="zh-CN"/>
        </w:rPr>
      </w:pPr>
    </w:p>
    <w:p>
      <w:pPr>
        <w:spacing w:line="309" w:lineRule="auto"/>
        <w:jc w:val="center"/>
        <w:rPr>
          <w:rFonts w:hint="eastAsia" w:ascii="宋体" w:hAnsi="宋体" w:eastAsia="宋体" w:cs="宋体"/>
          <w:position w:val="10"/>
          <w:sz w:val="20"/>
          <w:szCs w:val="20"/>
          <w:lang w:val="en-US" w:eastAsia="zh-CN"/>
        </w:rPr>
      </w:pPr>
    </w:p>
    <w:p>
      <w:pPr>
        <w:spacing w:line="309" w:lineRule="auto"/>
        <w:jc w:val="center"/>
        <w:rPr>
          <w:rFonts w:hint="eastAsia" w:ascii="宋体" w:hAnsi="宋体" w:eastAsia="宋体" w:cs="宋体"/>
          <w:position w:val="10"/>
          <w:sz w:val="20"/>
          <w:szCs w:val="20"/>
          <w:lang w:val="en-US" w:eastAsia="zh-CN"/>
        </w:rPr>
      </w:pPr>
    </w:p>
    <w:p>
      <w:pPr>
        <w:spacing w:line="309" w:lineRule="auto"/>
        <w:jc w:val="center"/>
        <w:rPr>
          <w:rFonts w:hint="eastAsia" w:ascii="宋体" w:hAnsi="宋体" w:eastAsia="宋体" w:cs="宋体"/>
          <w:position w:val="10"/>
          <w:sz w:val="20"/>
          <w:szCs w:val="20"/>
          <w:lang w:val="en-US" w:eastAsia="zh-CN"/>
        </w:rPr>
      </w:pPr>
    </w:p>
    <w:p>
      <w:pPr>
        <w:spacing w:line="309" w:lineRule="auto"/>
        <w:jc w:val="center"/>
        <w:rPr>
          <w:rFonts w:hint="eastAsia" w:ascii="宋体" w:hAnsi="宋体" w:eastAsia="宋体" w:cs="宋体"/>
          <w:position w:val="10"/>
          <w:sz w:val="20"/>
          <w:szCs w:val="20"/>
          <w:lang w:val="en-US" w:eastAsia="zh-CN"/>
        </w:rPr>
      </w:pPr>
    </w:p>
    <w:p>
      <w:pPr>
        <w:spacing w:line="309" w:lineRule="auto"/>
        <w:jc w:val="center"/>
        <w:rPr>
          <w:rFonts w:hint="eastAsia" w:ascii="宋体" w:hAnsi="宋体" w:eastAsia="宋体" w:cs="宋体"/>
          <w:position w:val="10"/>
          <w:sz w:val="20"/>
          <w:szCs w:val="20"/>
          <w:lang w:val="en-US" w:eastAsia="zh-CN"/>
        </w:rPr>
      </w:pPr>
    </w:p>
    <w:p>
      <w:pPr>
        <w:spacing w:line="309" w:lineRule="auto"/>
        <w:jc w:val="center"/>
        <w:rPr>
          <w:rFonts w:hint="eastAsia" w:ascii="宋体" w:hAnsi="宋体" w:eastAsia="宋体" w:cs="宋体"/>
          <w:position w:val="10"/>
          <w:sz w:val="20"/>
          <w:szCs w:val="20"/>
          <w:lang w:val="en-US" w:eastAsia="zh-CN"/>
        </w:rPr>
      </w:pPr>
    </w:p>
    <w:p>
      <w:pPr>
        <w:spacing w:line="309" w:lineRule="auto"/>
        <w:jc w:val="center"/>
        <w:rPr>
          <w:rFonts w:hint="eastAsia" w:ascii="宋体" w:hAnsi="宋体" w:eastAsia="宋体" w:cs="宋体"/>
          <w:position w:val="10"/>
          <w:sz w:val="20"/>
          <w:szCs w:val="20"/>
          <w:lang w:val="en-US" w:eastAsia="zh-CN"/>
        </w:rPr>
      </w:pPr>
    </w:p>
    <w:p>
      <w:pPr>
        <w:spacing w:line="309" w:lineRule="auto"/>
        <w:jc w:val="center"/>
        <w:rPr>
          <w:rFonts w:hint="eastAsia" w:ascii="宋体" w:hAnsi="宋体" w:eastAsia="宋体" w:cs="宋体"/>
          <w:position w:val="10"/>
          <w:sz w:val="20"/>
          <w:szCs w:val="20"/>
          <w:lang w:val="en-US" w:eastAsia="zh-CN"/>
        </w:rPr>
      </w:pPr>
    </w:p>
    <w:p>
      <w:pPr>
        <w:spacing w:line="309" w:lineRule="auto"/>
        <w:jc w:val="center"/>
        <w:rPr>
          <w:rFonts w:hint="eastAsia" w:ascii="宋体" w:hAnsi="宋体" w:eastAsia="宋体" w:cs="宋体"/>
          <w:position w:val="10"/>
          <w:sz w:val="20"/>
          <w:szCs w:val="20"/>
          <w:lang w:val="en-US" w:eastAsia="zh-CN"/>
        </w:rPr>
      </w:pPr>
    </w:p>
    <w:p>
      <w:pPr>
        <w:spacing w:line="309" w:lineRule="auto"/>
        <w:jc w:val="center"/>
        <w:rPr>
          <w:rFonts w:hint="eastAsia" w:ascii="宋体" w:hAnsi="宋体" w:eastAsia="宋体" w:cs="宋体"/>
          <w:position w:val="10"/>
          <w:sz w:val="20"/>
          <w:szCs w:val="20"/>
          <w:lang w:val="en-US" w:eastAsia="zh-CN"/>
        </w:rPr>
      </w:pPr>
    </w:p>
    <w:p>
      <w:pPr>
        <w:spacing w:line="309" w:lineRule="auto"/>
        <w:jc w:val="center"/>
        <w:rPr>
          <w:rFonts w:hint="eastAsia" w:ascii="宋体" w:hAnsi="宋体" w:eastAsia="宋体" w:cs="宋体"/>
          <w:position w:val="10"/>
          <w:sz w:val="20"/>
          <w:szCs w:val="20"/>
          <w:lang w:val="en-US" w:eastAsia="zh-CN"/>
        </w:rPr>
      </w:pPr>
    </w:p>
    <w:p>
      <w:pPr>
        <w:spacing w:line="309" w:lineRule="auto"/>
        <w:jc w:val="center"/>
        <w:rPr>
          <w:rFonts w:hint="eastAsia" w:ascii="宋体" w:hAnsi="宋体" w:eastAsia="宋体" w:cs="宋体"/>
          <w:position w:val="10"/>
          <w:sz w:val="20"/>
          <w:szCs w:val="20"/>
          <w:lang w:val="en-US" w:eastAsia="zh-CN"/>
        </w:rPr>
      </w:pPr>
    </w:p>
    <w:p>
      <w:pPr>
        <w:spacing w:line="309" w:lineRule="auto"/>
        <w:jc w:val="both"/>
        <w:rPr>
          <w:rFonts w:hint="default" w:ascii="宋体" w:hAnsi="宋体" w:eastAsia="宋体" w:cs="宋体"/>
          <w:position w:val="10"/>
          <w:sz w:val="20"/>
          <w:szCs w:val="20"/>
          <w:lang w:val="en-US" w:eastAsia="zh-CN"/>
        </w:rPr>
      </w:pPr>
    </w:p>
    <w:sectPr>
      <w:footerReference r:id="rId11" w:type="default"/>
      <w:pgSz w:w="11906" w:h="16839"/>
      <w:pgMar w:top="1406" w:right="1080" w:bottom="1313" w:left="1420" w:header="0" w:footer="1134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numPr>
        <w:ilvl w:val="0"/>
        <w:numId w:val="0"/>
      </w:numPr>
      <w:tabs>
        <w:tab w:val="left" w:pos="360"/>
      </w:tabs>
      <w:ind w:left="8715"/>
      <w:rPr>
        <w:rStyle w:val="10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numPr>
                              <w:ilvl w:val="0"/>
                              <w:numId w:val="0"/>
                            </w:numPr>
                            <w:tabs>
                              <w:tab w:val="left" w:pos="360"/>
                            </w:tabs>
                            <w:jc w:val="both"/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OJOWjL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numPr>
                        <w:ilvl w:val="0"/>
                        <w:numId w:val="0"/>
                      </w:numPr>
                      <w:tabs>
                        <w:tab w:val="left" w:pos="360"/>
                      </w:tabs>
                      <w:jc w:val="both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numPr>
        <w:ilvl w:val="0"/>
        <w:numId w:val="0"/>
      </w:numPr>
      <w:tabs>
        <w:tab w:val="left" w:pos="360"/>
      </w:tabs>
      <w:jc w:val="both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right="225"/>
      <w:jc w:val="right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3"/>
        <w:sz w:val="17"/>
        <w:szCs w:val="17"/>
      </w:rPr>
      <w:t>II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right="266"/>
      <w:jc w:val="right"/>
      <w:rPr>
        <w:rFonts w:hint="default" w:ascii="宋体" w:hAnsi="宋体" w:eastAsia="宋体" w:cs="宋体"/>
        <w:sz w:val="17"/>
        <w:szCs w:val="17"/>
        <w:lang w:val="en-US" w:eastAsia="zh-CN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numPr>
        <w:ilvl w:val="0"/>
        <w:numId w:val="0"/>
      </w:numPr>
      <w:pBdr>
        <w:bottom w:val="none" w:color="auto" w:sz="0" w:space="1"/>
      </w:pBdr>
      <w:tabs>
        <w:tab w:val="left" w:pos="360"/>
        <w:tab w:val="left" w:pos="1858"/>
        <w:tab w:val="center" w:pos="5424"/>
      </w:tabs>
      <w:ind w:firstLine="1440" w:firstLineChars="800"/>
      <w:jc w:val="left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 xml:space="preserve">                                       </w:t>
    </w:r>
    <w:r>
      <w:rPr>
        <w:rFonts w:hint="eastAsia"/>
        <w:b/>
        <w:bCs/>
      </w:rPr>
      <w:t>DBS</w:t>
    </w:r>
    <w:r>
      <w:rPr>
        <w:rFonts w:hint="eastAsia"/>
      </w:rPr>
      <w:t xml:space="preserve"> </w:t>
    </w:r>
    <w:r>
      <w:rPr>
        <w:rFonts w:hint="eastAsia" w:ascii="黑体" w:hAnsi="黑体" w:eastAsia="黑体" w:cs="黑体"/>
      </w:rPr>
      <w:t>37/XXX 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numPr>
        <w:ilvl w:val="0"/>
        <w:numId w:val="0"/>
      </w:numPr>
      <w:pBdr>
        <w:bottom w:val="none" w:color="auto" w:sz="0" w:space="1"/>
      </w:pBdr>
      <w:tabs>
        <w:tab w:val="left" w:pos="360"/>
      </w:tabs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</w:p>
  <w:p>
    <w:pPr>
      <w:pStyle w:val="5"/>
      <w:rPr>
        <w:rFonts w:hint="eastAsia"/>
      </w:rPr>
    </w:pPr>
  </w:p>
  <w:p>
    <w:pPr>
      <w:pStyle w:val="5"/>
      <w:rPr>
        <w:rFonts w:hint="eastAsia"/>
      </w:rPr>
    </w:pPr>
  </w:p>
  <w:p>
    <w:pPr>
      <w:pStyle w:val="5"/>
      <w:rPr>
        <w:rFonts w:hint="eastAsia"/>
      </w:rPr>
    </w:pPr>
  </w:p>
  <w:p>
    <w:pPr>
      <w:pStyle w:val="5"/>
      <w:rPr>
        <w:rFonts w:hint="eastAsia"/>
      </w:rPr>
    </w:pPr>
  </w:p>
  <w:p>
    <w:pPr>
      <w:pStyle w:val="5"/>
      <w:jc w:val="right"/>
    </w:pPr>
    <w:r>
      <w:rPr>
        <w:rFonts w:hint="eastAsia"/>
      </w:rPr>
      <w:t>DB</w:t>
    </w:r>
    <w:r>
      <w:rPr>
        <w:rFonts w:hint="eastAsia" w:eastAsia="宋体"/>
        <w:lang w:val="en-US" w:eastAsia="zh-CN"/>
      </w:rPr>
      <w:t>S</w:t>
    </w:r>
    <w:r>
      <w:rPr>
        <w:rFonts w:hint="eastAsia"/>
      </w:rPr>
      <w:t xml:space="preserve"> 37/ XXXX—XXXX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646260FA"/>
    <w:multiLevelType w:val="multilevel"/>
    <w:tmpl w:val="646260FA"/>
    <w:lvl w:ilvl="0" w:tentative="0">
      <w:start w:val="1"/>
      <w:numFmt w:val="decimal"/>
      <w:pStyle w:val="27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>
    <w:nsid w:val="6CEA2025"/>
    <w:multiLevelType w:val="multilevel"/>
    <w:tmpl w:val="6CEA2025"/>
    <w:lvl w:ilvl="0" w:tentative="0">
      <w:start w:val="1"/>
      <w:numFmt w:val="none"/>
      <w:pStyle w:val="15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71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3403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true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VjOGRmYmM1OTc2YWI4Y2NmZWFjMDgyZWY5YTZmYTAifQ=="/>
  </w:docVars>
  <w:rsids>
    <w:rsidRoot w:val="00000000"/>
    <w:rsid w:val="010A29DC"/>
    <w:rsid w:val="02145195"/>
    <w:rsid w:val="07E25DE9"/>
    <w:rsid w:val="07FE08AD"/>
    <w:rsid w:val="09966627"/>
    <w:rsid w:val="0D4918B9"/>
    <w:rsid w:val="168B7804"/>
    <w:rsid w:val="1A534654"/>
    <w:rsid w:val="1CB5136C"/>
    <w:rsid w:val="20337402"/>
    <w:rsid w:val="206C0909"/>
    <w:rsid w:val="216D6944"/>
    <w:rsid w:val="22635651"/>
    <w:rsid w:val="23C71C0F"/>
    <w:rsid w:val="26290220"/>
    <w:rsid w:val="28543E4C"/>
    <w:rsid w:val="2AE9690F"/>
    <w:rsid w:val="323D5255"/>
    <w:rsid w:val="41F83BB0"/>
    <w:rsid w:val="439F1050"/>
    <w:rsid w:val="43F45FB4"/>
    <w:rsid w:val="465C6B5C"/>
    <w:rsid w:val="474C59F4"/>
    <w:rsid w:val="4795551B"/>
    <w:rsid w:val="47F646F8"/>
    <w:rsid w:val="48343AEC"/>
    <w:rsid w:val="492E749F"/>
    <w:rsid w:val="4997155B"/>
    <w:rsid w:val="49E656E9"/>
    <w:rsid w:val="4B932E33"/>
    <w:rsid w:val="4D0007BD"/>
    <w:rsid w:val="4FA2466D"/>
    <w:rsid w:val="51F53C68"/>
    <w:rsid w:val="52203C3B"/>
    <w:rsid w:val="52B4142D"/>
    <w:rsid w:val="543931A3"/>
    <w:rsid w:val="584638DB"/>
    <w:rsid w:val="5D3F45A2"/>
    <w:rsid w:val="62C31218"/>
    <w:rsid w:val="6439152D"/>
    <w:rsid w:val="65956E9C"/>
    <w:rsid w:val="679010BF"/>
    <w:rsid w:val="695439AB"/>
    <w:rsid w:val="6D3F3B91"/>
    <w:rsid w:val="6ED04123"/>
    <w:rsid w:val="6F346F87"/>
    <w:rsid w:val="70A66401"/>
    <w:rsid w:val="70F25973"/>
    <w:rsid w:val="71FC02A3"/>
    <w:rsid w:val="723C7EF1"/>
    <w:rsid w:val="73C71069"/>
    <w:rsid w:val="78B07223"/>
    <w:rsid w:val="7DDA7B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360"/>
      </w:tabs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/>
      <w:sz w:val="18"/>
    </w:rPr>
  </w:style>
  <w:style w:type="character" w:styleId="11">
    <w:name w:val="Emphasis"/>
    <w:basedOn w:val="9"/>
    <w:qFormat/>
    <w:uiPriority w:val="0"/>
    <w:rPr>
      <w:i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4">
    <w:name w:val="目次、标准名称标题"/>
    <w:basedOn w:val="15"/>
    <w:next w:val="16"/>
    <w:qFormat/>
    <w:uiPriority w:val="0"/>
    <w:pPr>
      <w:numPr>
        <w:ilvl w:val="0"/>
        <w:numId w:val="0"/>
      </w:numPr>
      <w:tabs>
        <w:tab w:val="left" w:pos="360"/>
        <w:tab w:val="left" w:pos="9215"/>
      </w:tabs>
      <w:spacing w:line="460" w:lineRule="exact"/>
    </w:pPr>
  </w:style>
  <w:style w:type="paragraph" w:customStyle="1" w:styleId="15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8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9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20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21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2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23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24">
    <w:name w:val="二级无"/>
    <w:basedOn w:val="25"/>
    <w:qFormat/>
    <w:uiPriority w:val="0"/>
    <w:pPr>
      <w:spacing w:before="0" w:beforeLines="0" w:after="0" w:afterLines="0"/>
      <w:ind w:left="0" w:firstLine="0"/>
    </w:pPr>
    <w:rPr>
      <w:rFonts w:ascii="宋体" w:eastAsia="宋体"/>
    </w:rPr>
  </w:style>
  <w:style w:type="paragraph" w:customStyle="1" w:styleId="25">
    <w:name w:val="二级条标题"/>
    <w:basedOn w:val="26"/>
    <w:next w:val="16"/>
    <w:qFormat/>
    <w:uiPriority w:val="0"/>
    <w:pPr>
      <w:numPr>
        <w:ilvl w:val="2"/>
        <w:numId w:val="2"/>
      </w:numPr>
      <w:spacing w:before="50" w:after="50"/>
      <w:outlineLvl w:val="3"/>
    </w:pPr>
  </w:style>
  <w:style w:type="paragraph" w:customStyle="1" w:styleId="26">
    <w:name w:val="一级条标题"/>
    <w:next w:val="16"/>
    <w:qFormat/>
    <w:uiPriority w:val="0"/>
    <w:pPr>
      <w:numPr>
        <w:ilvl w:val="1"/>
        <w:numId w:val="2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7">
    <w:name w:val="正文表标题"/>
    <w:next w:val="16"/>
    <w:qFormat/>
    <w:uiPriority w:val="0"/>
    <w:pPr>
      <w:numPr>
        <w:ilvl w:val="0"/>
        <w:numId w:val="3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879</Words>
  <Characters>1061</Characters>
  <TotalTime>3</TotalTime>
  <ScaleCrop>false</ScaleCrop>
  <LinksUpToDate>false</LinksUpToDate>
  <CharactersWithSpaces>1242</CharactersWithSpaces>
  <Application>WPS Office_11.8.2.9831_F1E327BC-269C-435d-A152-05C5408002CA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2023-03-08T22:24:00Z</dcterms:created>
  <dc:creator>Lenovo</dc:creator>
  <cp:lastModifiedBy>user</cp:lastModifiedBy>
  <cp:lastPrinted>2023-05-05T16:32:00Z</cp:lastPrinted>
  <dcterms:modified xsi:type="dcterms:W3CDTF">2024-08-27T15:01:05Z</dcterms:modified>
  <dc:title>地方标准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2023-03-10T10:44:38Z</vt:filetime>
  </property>
  <property fmtid="{D5CDD505-2E9C-101B-9397-08002B2CF9AE}" pid="4" name="KSOProductBuildVer">
    <vt:lpwstr>2052-11.8.2.9831</vt:lpwstr>
  </property>
  <property fmtid="{D5CDD505-2E9C-101B-9397-08002B2CF9AE}" pid="5" name="ICV">
    <vt:lpwstr>CE4B4878F7FC4176BBD3D459B50D8786_13</vt:lpwstr>
  </property>
</Properties>
</file>